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8.0" w:type="dxa"/>
        <w:jc w:val="left"/>
        <w:tblInd w:w="0.0" w:type="dxa"/>
        <w:tblLayout w:type="fixed"/>
        <w:tblLook w:val="0000"/>
      </w:tblPr>
      <w:tblGrid>
        <w:gridCol w:w="9678"/>
        <w:tblGridChange w:id="0">
          <w:tblGrid>
            <w:gridCol w:w="9678"/>
          </w:tblGrid>
        </w:tblGridChange>
      </w:tblGrid>
      <w:tr>
        <w:trPr>
          <w:cantSplit w:val="0"/>
          <w:trHeight w:val="7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283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Republika e Kosovës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Republika Kosova-Republic of Kosovo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Qeveria –Vlada-Government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Ministria e Mbrojtjes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Ministarstvo Odbrane  /  Ministry of Defense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Nr.5/2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Datë:05.09.2022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Bordi Përzgjedhës i emëruar sipas Vendimit Nr.1/70/2022 të datës 24.02.2022, të Ministrit të Mbrojtjes, me procesmbajtësin, Sekretaria nga SAT, në seancën e datës 05.09.2022 mori këtë: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 E N D I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Lista e kandidatëve të përzgjedhur për arsimim dhe stërvitje jashtë vendit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55.0" w:type="dxa"/>
        <w:jc w:val="left"/>
        <w:tblInd w:w="-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gridCol w:w="2014"/>
        <w:gridCol w:w="1080"/>
        <w:gridCol w:w="1260"/>
        <w:gridCol w:w="1170"/>
        <w:gridCol w:w="1530"/>
        <w:gridCol w:w="900"/>
        <w:gridCol w:w="1710"/>
        <w:gridCol w:w="1355"/>
        <w:tblGridChange w:id="0">
          <w:tblGrid>
            <w:gridCol w:w="236"/>
            <w:gridCol w:w="2014"/>
            <w:gridCol w:w="1080"/>
            <w:gridCol w:w="1260"/>
            <w:gridCol w:w="1170"/>
            <w:gridCol w:w="1530"/>
            <w:gridCol w:w="900"/>
            <w:gridCol w:w="1710"/>
            <w:gridCol w:w="1355"/>
          </w:tblGrid>
        </w:tblGridChange>
      </w:tblGrid>
      <w:tr>
        <w:trPr>
          <w:cantSplit w:val="1"/>
          <w:trHeight w:val="345" w:hRule="atLeast"/>
          <w:tblHeader w:val="0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EMRI I KURSIT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PERIUDHA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SHTETI / VENDI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I ZGJEDHUR 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 PRIORITET &amp; ALTERNATIV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2f3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TË ZGJEDHURIT PËR PJESËMARRËJE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DERI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Grada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Nr i Postit/Pozitës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Njësia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Comprehensive Approach to Gender in Operations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27.11. 2022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02.12.   2022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Holandë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Prioritet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MM 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M.M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Këshillë juridike: Ndaj këtij Vendimi kandidatët e pakënaqur kanë të drejtë ankese në përputhje me Nenin 5 të Vendimit Nr.1/70/2022 të datës 24.02.2022.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07" w:top="994" w:left="135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Faqe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nga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Adresa: MFSK, Kazerma “Adem Jashari”, 10.000 Prishtinë-Kosovë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Telefon: 038 / 200 13 606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8"/>
          <w:szCs w:val="18"/>
          <w:highlight w:val="white"/>
          <w:u w:val="single"/>
          <w:vertAlign w:val="baseline"/>
          <w:rtl w:val="0"/>
        </w:rPr>
        <w:t xml:space="preserve">https://mod.rks-gov.net</w:t>
      </w:r>
    </w:hyperlink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6621"/>
        <w:sz w:val="24"/>
        <w:szCs w:val="24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center"/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q-A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mod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