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2D5" w:rsidRPr="003967DA" w:rsidRDefault="003142D5" w:rsidP="003142D5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b/>
          <w:bCs/>
          <w:color w:val="004288"/>
          <w:sz w:val="24"/>
          <w:szCs w:val="24"/>
          <w:bdr w:val="none" w:sz="0" w:space="0" w:color="auto" w:frame="1"/>
        </w:rPr>
      </w:pPr>
      <w:r w:rsidRPr="003142D5">
        <w:rPr>
          <w:rFonts w:ascii="Palatino Linotype" w:eastAsia="Times New Roman" w:hAnsi="Palatino Linotype" w:cs="Times New Roman"/>
          <w:b/>
          <w:bCs/>
          <w:color w:val="004288"/>
          <w:sz w:val="24"/>
          <w:szCs w:val="24"/>
          <w:bdr w:val="none" w:sz="0" w:space="0" w:color="auto" w:frame="1"/>
        </w:rPr>
        <w:t>LIGJI NR. 06/L-081 PËR QASJE NË DOKUMENTE PUBLIKE</w:t>
      </w:r>
    </w:p>
    <w:p w:rsidR="003142D5" w:rsidRPr="003142D5" w:rsidRDefault="003142D5" w:rsidP="003142D5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b/>
          <w:bCs/>
          <w:color w:val="004288"/>
          <w:sz w:val="24"/>
          <w:szCs w:val="24"/>
        </w:rPr>
      </w:pPr>
    </w:p>
    <w:p w:rsidR="003142D5" w:rsidRPr="003142D5" w:rsidRDefault="003142D5" w:rsidP="003142D5">
      <w:pPr>
        <w:spacing w:line="240" w:lineRule="auto"/>
        <w:textAlignment w:val="baseline"/>
        <w:rPr>
          <w:rFonts w:ascii="Palatino Linotype" w:eastAsia="Times New Roman" w:hAnsi="Palatino Linotype" w:cs="Times New Roman"/>
          <w:color w:val="000000"/>
          <w:sz w:val="24"/>
          <w:szCs w:val="24"/>
        </w:rPr>
      </w:pPr>
    </w:p>
    <w:p w:rsidR="003142D5" w:rsidRPr="003967DA" w:rsidRDefault="003142D5" w:rsidP="003142D5">
      <w:pPr>
        <w:spacing w:line="285" w:lineRule="atLeast"/>
        <w:textAlignment w:val="baseline"/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</w:pP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GAZETA ZYRTARE E REPUBLIKËS SË KOSOVËS / Nr. 13 / </w:t>
      </w: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t>04 KORRIK 2019,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PRISHTINË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</w:r>
    </w:p>
    <w:p w:rsidR="003142D5" w:rsidRPr="003967DA" w:rsidRDefault="003142D5" w:rsidP="003142D5">
      <w:pPr>
        <w:spacing w:line="285" w:lineRule="atLeast"/>
        <w:textAlignment w:val="baseline"/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</w:pP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Kuvendi i Republikës së Kosovës,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Në mbështetje të nenit 65 (1) të Kushtetutës së Republikës së Kosovës,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Miraton:</w:t>
      </w:r>
    </w:p>
    <w:p w:rsidR="003142D5" w:rsidRPr="003967DA" w:rsidRDefault="003142D5" w:rsidP="003142D5">
      <w:pPr>
        <w:spacing w:line="285" w:lineRule="atLeast"/>
        <w:textAlignment w:val="baseline"/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</w:pP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LIGJ PËR QASJE NË DOKUMENTE PUBLIKE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KAPITULLI I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DISPOZITAT E PËRGJITHSHME</w:t>
      </w:r>
    </w:p>
    <w:p w:rsidR="003967DA" w:rsidRDefault="003142D5" w:rsidP="003142D5">
      <w:pPr>
        <w:spacing w:line="285" w:lineRule="atLeast"/>
        <w:textAlignment w:val="baseline"/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</w:pP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</w: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t>Neni 1</w:t>
      </w: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br/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Qëllimi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Ky ligj garanton të drejtën e secilit person, pa diskriminim mbi çfarëdo baze, për të pasur qasje</w:t>
      </w:r>
      <w:r w:rsidR="00551663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bookmarkStart w:id="0" w:name="_GoBack"/>
      <w:bookmarkEnd w:id="0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në dokumente publike, të prodhuara, pranuara, mbajtura apo kontrolluara nga institucionet</w:t>
      </w:r>
      <w:r w:rsidR="00551663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publike, si dhe të drejtën për ripërdorimin e dokumenteve të sektorit publik.</w:t>
      </w:r>
    </w:p>
    <w:p w:rsidR="003967DA" w:rsidRDefault="003142D5" w:rsidP="003142D5">
      <w:pPr>
        <w:spacing w:line="285" w:lineRule="atLeast"/>
        <w:textAlignment w:val="baseline"/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</w:pP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</w: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t>Neni 2</w:t>
      </w: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br/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Fushëveprimi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1. Ky ligj zbatohet për të gjitha dokumentet publike që prodhohen, pranohen, mbahen, apo</w:t>
      </w:r>
      <w:r w:rsidR="00551663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kontrollohen nga institucionet publike, përveç në rastet kur kufizohet ndryshe me legjislacionin</w:t>
      </w:r>
      <w:r w:rsidR="00551663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në fuqi.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2. Paragrafi 1. nuk përbën obligim për institucionet publike që të krijojnë apo përshtatin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dokumente publike apo të ofrojnë përmbledhje të informatave kur një gjë e tillë do të përfshinte</w:t>
      </w:r>
      <w:r w:rsidR="00551663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përpjekje </w:t>
      </w:r>
      <w:proofErr w:type="spellStart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joproporcionale</w:t>
      </w:r>
      <w:proofErr w:type="spellEnd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, që shkon përtej një operimi të thjeshtë. Mbi këtë bazë, institucionet</w:t>
      </w:r>
      <w:r w:rsidR="00551663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publike nuk mund të obligohen që të vazhdojnë prodhimin dhe ruajtjen e një lloji të caktuar të</w:t>
      </w:r>
      <w:r w:rsidR="00551663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dokumentit publik me qëllim të ripërdorimit të tij nga një person apo institucionet publike.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3. Ky ligj nuk cenon të drejtën për qasje në dokumente publike që mbahen nga institucionet</w:t>
      </w:r>
      <w:r w:rsidR="00551663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publike, e të cilat mund të rrjedhin nga instrumentet ligjore ndërkombëtare apo aktet e</w:t>
      </w:r>
      <w:r w:rsidR="00551663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institucioneve të cilat i zbatojnë ato.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4. Kërkesa dhe qasja në dokumente të klasifikuara, bëhet në përputhje me ligjin përkatës për</w:t>
      </w:r>
      <w:r w:rsidR="00551663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klasifikimin e informacionit.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lastRenderedPageBreak/>
        <w:t>5. Dispozitat e këtij ligji nuk aplikohen: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5.1. për informatat e klasifikuara të prodhuara dhe mbajtura nga organizatat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ndërkombëtare apo përfaqësitë e shteteve të tjera; dhe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5.2. informatat e klasifikuara nga institucionet publike, që kanë prejardhje apo janë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shkëmbyer në bazë të një kornize të bashkëpunimit me organizata ndërkombëtare apo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shtete të tjera.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</w:r>
    </w:p>
    <w:p w:rsidR="003967DA" w:rsidRDefault="003142D5" w:rsidP="003142D5">
      <w:pPr>
        <w:spacing w:line="285" w:lineRule="atLeast"/>
        <w:textAlignment w:val="baseline"/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</w:pP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t>Neni 3</w:t>
      </w: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br/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Përkufizimet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1. Shprehjet e përdorura në këtë ligj kanë këtë kuptim: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1.1. Institucionet publike – nënkupton institucionet dhe organet e pushtetit shtetëror në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vijim: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1.1.1. qeverinë dhe administratën në nivelin qendror dhe lokal;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1.1.2. personat fizikë apo juridikë, nëse ushtrojnë autoritet apo kompetenca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administrative dhe vetëm në lidhje me to, kryejnë detyra publike, apo operojnë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me fonde publike sipas ligjeve të Republikës së Kosovës;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1.1.3. institucionet ligjvënëse lidhur me aktivitetet e tyre;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1.1.4. institucionet e prokurorisë lidhur me aktivitetet e tyre;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1.1.5. institucionet gjyqësore lidhur me aktivitetet e tyre;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1.1.6. institucionet e pavarura të përcaktuara në ose të themeluara sipas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Kapitullit XII të Kushtetutës së Republikës së Kosovës;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1.1.7. subjektet politike të përfaqësuara në Kuvendin e Kosovës, të cilat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financohen me fonde publike; dhe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1.1.8. kompanitë publike në të cilat shteti zotëron shumicën e aksioneve,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apo të cilat ushtrojnë një funksion publik, sipas nën-</w:t>
      </w:r>
      <w:proofErr w:type="spellStart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nënparagrafit</w:t>
      </w:r>
      <w:proofErr w:type="spellEnd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1.1.3. të këtij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neni.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1.2. Dokument Publik– nënkupton çdo akt, fakt apo informatë në formë elektronike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 xml:space="preserve">apo me zë, formë të shtypur, në incizime vizuale apo </w:t>
      </w:r>
      <w:proofErr w:type="spellStart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audiovizuale</w:t>
      </w:r>
      <w:proofErr w:type="spellEnd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të prodhuara apo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mbajtura nga institucioni publik;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1.3. Informacion – nënkupton, por nuk kufizohet në, të dhëna, fotografi, vizatime,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video, film, raport, akt, tabelë, projekte, drafte ose shtesa të tjera, të cilat prodhohen,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pranohen, mbahen ose kontrollohen nga institucionet publike, pavarësisht nëse janë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të përfshira në ndonjë dokument, si dhe pavarësisht burimit, kohës së krijimit, vendit të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depozitimit ose ruajtjes, mediumin ose formën në të cilën gjendet, emrit ose institucionit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publik në emër të cilit është krijuar ose çfarëdo karakteristike tjetër;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1.4. Të dhëna të hapura - nënkupton të dhënat e prodhuara, pranuara, mbajtura apo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kontrolluara nga institucionet publike, të cilat mund të përdoren lirisht, të modifikohen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dhe shpërndahen nga çdo person, me kusht që të mbesin të hapura dhe t’i atribuohen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burimit;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lastRenderedPageBreak/>
        <w:t>1.5. Publikim – nënkupton vënien në dispozicion në një formë të qasshme për publikun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dhe që përfshinë shtypin, transmetimin dhe format elektronike;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 xml:space="preserve">1.6. </w:t>
      </w:r>
      <w:proofErr w:type="spellStart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Hostim</w:t>
      </w:r>
      <w:proofErr w:type="spellEnd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– nënkupton ofrimin e hapësirës në server dhe publikimi në internet i ueb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faqeve;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1.7. Person – nënkupton çdo person fizik apo juridik, pa dallim mbi çfarëdo baze, i cili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kërkon qasje në dokumente publike sipas këtij ligji;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1.8. Ripërdorimi i dokumenteve publike – ripërdorimi nga çdo person i dokumenteve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 xml:space="preserve">publike për qëllime komerciale dhe </w:t>
      </w:r>
      <w:proofErr w:type="spellStart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jokomerciale</w:t>
      </w:r>
      <w:proofErr w:type="spellEnd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tjera nga qëllimi fillestar për të cilat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janë prodhuar dokumentet publike;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1.9. Testi i dëmit dhe i interesit publik – Testi ligjor që e vlerëson dëmin që do t’i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shkaktohej interesit të mbrojtur kundrejt interesit publik për publikim, që duhet të bëjnë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institucionet publike para marrjes së vendimit për refuzim të publikimit të dokumenteve</w:t>
      </w:r>
      <w:r w:rsidR="00551663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publike me vetiniciativë, si dhe para marrjes së vendimit për refuzimin e kërkesave</w:t>
      </w:r>
      <w:r w:rsidR="00551663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për qasje në dokumente publike, i cili duhet të përfshihet në arsyetim të vendimit mbi</w:t>
      </w:r>
      <w:r w:rsidR="00551663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refuzim;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1.10. Agjencia – nënkupton Agjencinë për Informim dhe Privatësi, të themeluar në bazë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të ligjit të veçantë për mbrojtjen e të dhënave personale;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 xml:space="preserve">1.11. </w:t>
      </w:r>
      <w:proofErr w:type="spellStart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Komisioneri</w:t>
      </w:r>
      <w:proofErr w:type="spellEnd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– organ i pavarur, i emëruar nga Kuvendi i Kosovës, në kuadër të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Agjencisë, i cili është përgjegjës për sigurimin e zbatimit të këtij ligji dhe të Ligjit për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mbrojtjen e të dhënave personale;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1.12. Zyrtar përgjegjës – nënkupton zyrtarin më të lartë administrativ të institucionit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publik sikurse është përcaktuar me ligj, i cili është përgjegjës për vendimmarrje në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kuadër të një institucioni publik;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1.13. Zyrtar përgjegjës për qasje në dokumente publike – zyrtar administrativ në kuadër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të institucionit publik, i caktuar për pranimin dhe regjistrimin e kërkesave të pranuara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për qasje në dokumente publike, për kryerjen e shqyrtimit fillestar të këtyre kërkesave,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për ruajtjen dhe mbajtjen e evidencave të këtyre kërkesave dhe për raportimin rreth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këtyre kërkesave;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1.14. Gjykata – gjykata kompetente e përcaktuar me ligjin mbi gjykatat kompetente për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gjykimin e çështjeve administrative.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</w:r>
    </w:p>
    <w:p w:rsidR="003967DA" w:rsidRDefault="003142D5" w:rsidP="003142D5">
      <w:pPr>
        <w:spacing w:line="285" w:lineRule="atLeast"/>
        <w:textAlignment w:val="baseline"/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</w:pP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t>Neni 4</w:t>
      </w: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br/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Parimet themelore të së drejtës në qasje në dokumente publike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1. E drejta për qasje në dokumente publike e secilit person, si dhe garantimi dhe përmbushja</w:t>
      </w:r>
      <w:r w:rsidR="00551663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e kësaj të drejte nga ana e institucioneve publike përbën një prej themeleve të institucioneve</w:t>
      </w:r>
      <w:r w:rsidR="00551663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demokratike dhe transparente.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 xml:space="preserve">2. Qasja në dokumente publike bëhet përmes publikimit </w:t>
      </w:r>
      <w:proofErr w:type="spellStart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proaktiv</w:t>
      </w:r>
      <w:proofErr w:type="spellEnd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nga ana e institucioneve</w:t>
      </w:r>
      <w:r w:rsidR="00551663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publike të dokumenteve publike dhe përmes kërkesës së personit për qasje në dokumente</w:t>
      </w:r>
      <w:r w:rsidR="00551663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publike.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lastRenderedPageBreak/>
        <w:t>3. Secili person ka të drejtë të ripërdorë dokumentet publike sipas kushteve dhe kufizimeve te</w:t>
      </w:r>
      <w:r w:rsidR="00551663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përcaktuara me këtë ligj.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4. Hapja e të dhënave dhe transparenca në sektorin publik shërben për llogaridhënie ndaj</w:t>
      </w:r>
      <w:r w:rsidR="00551663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publikut, për zhvillimin dhe avancimin shoqëror, ekonomik dhe demokratik.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5. E drejta për qasje në dokumente publike i takon secilit person në mënyrë të njëjtë dhe të</w:t>
      </w:r>
      <w:r w:rsidR="00551663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barabartë. Institucionet publike nuk favorizojnë askënd në ushtrimin e të drejtës për qasje në</w:t>
      </w:r>
      <w:r w:rsidR="00551663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dokumente në krahasim me të tjerët.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6. Kufizimi i të drejtës për qasje në dokumente publike bëhet vetëm në rastet e kufizuara dhe</w:t>
      </w:r>
      <w:r w:rsidR="00551663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specifike të përcaktuara me legjislacionin në fuqi.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</w:r>
    </w:p>
    <w:p w:rsidR="003967DA" w:rsidRDefault="003142D5" w:rsidP="003142D5">
      <w:pPr>
        <w:spacing w:line="285" w:lineRule="atLeast"/>
        <w:textAlignment w:val="baseline"/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</w:pP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t>KAPITULLI II</w:t>
      </w: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br/>
        <w:t>PUBLIKIMI I DOKUMENTEVE PUBLIKE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</w:r>
    </w:p>
    <w:p w:rsidR="003967DA" w:rsidRDefault="003142D5" w:rsidP="003142D5">
      <w:pPr>
        <w:spacing w:line="285" w:lineRule="atLeast"/>
        <w:textAlignment w:val="baseline"/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</w:pP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t>Neni 5</w:t>
      </w: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br/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Publikimi me iniciativë të institucioneve publike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 xml:space="preserve">1. Institucionet publike detyrohen të publikojnë në mënyrë </w:t>
      </w:r>
      <w:proofErr w:type="spellStart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proaktive</w:t>
      </w:r>
      <w:proofErr w:type="spellEnd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çdo dokument publik të</w:t>
      </w:r>
      <w:r w:rsidR="00551663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prodhuar, të pranuar, të mbajtur apo të kontrolluar, në formë elektronike, përmes publikimit në</w:t>
      </w:r>
      <w:r w:rsidR="00551663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ueb faqen zyrtare të institucioneve publike, pavarësisht kërkesës së personit për qasje.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2. Ueb faqet e institucioneve publike duhet të përmbajnë, duke përfshirë, por pa u kufizuar në: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2.1. misionin dhe funksionet e institucionit publik, duke përfshirë edhe ato të njësive në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vartësi;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2.2. skemën organizative të institucionit publik, duke përfshirë edhe atë të njësive në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vartësi;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2.3. legjislacionin bazë për organizimin, funksionimin dhe funksionet e institucionit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përkatës;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2.4. të dhënat e përditshme për veprimtarinë publike të institucionit, aktet ligjore e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nënligjore;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 xml:space="preserve">2.5. strategjitë dhe dokumentet e tjera të </w:t>
      </w:r>
      <w:proofErr w:type="spellStart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linjëveprimeve</w:t>
      </w:r>
      <w:proofErr w:type="spellEnd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të miratuara, në fushën e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veprimit dhe funksionet e institucionit publik;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2.6. listën e hollësishme të shërbimeve që ofron institucioni për publikun, si: licenca,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leje, autorizime, certifikata, vërtetime apo shërbime publike të tjera, ku do të përfshihen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edhe: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2.6.1. procedurat dhe kushtet e përfitimit të tyre;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2.6.2. dokumentacioni i nevojshëm dhe kostoja për realizimin e shërbimit;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2.6.3. formulari i aplikimit për çdo shërbim dhe udhëzuesi i plotësimit të tij;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2.6.4. afati i detyrueshëm për të marrë përgjigje për shërbimin e kërkuar;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2.6.5. afati dhe organi ku bëhet ankimi, në rast refuzimi të përgjigjes apo të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</w:r>
      <w:proofErr w:type="spellStart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lastRenderedPageBreak/>
        <w:t>mosofrimit</w:t>
      </w:r>
      <w:proofErr w:type="spellEnd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të shërbimit në afatin e detyrueshëm ligjor.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2.7. secili institucion publik detyrohet të ketë një adresë zyrtare të postës elektronike,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posaçërisht për komunikim me publikun dhe të ngarkojë një (1) person për të kontrolluar</w:t>
      </w:r>
      <w:r w:rsidR="00551663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rregullisht të dhënat e pranuara. I njëjti mund të jetë përgjegjës për rifreskimin, sigurimin</w:t>
      </w:r>
      <w:r w:rsidR="00551663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e qasjes dhe besueshmërinë e informatave në ueb faqet e institucioneve publike;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 xml:space="preserve">2.8. institucionet publike ueb faqet e tyre zyrtare, obligohen t’i </w:t>
      </w:r>
      <w:proofErr w:type="spellStart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hostojnë</w:t>
      </w:r>
      <w:proofErr w:type="spellEnd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në serverët e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 xml:space="preserve">Qendrës Shtetërore të </w:t>
      </w:r>
      <w:proofErr w:type="spellStart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të</w:t>
      </w:r>
      <w:proofErr w:type="spellEnd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Dhënave të Republikës së Kosovës;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2.9. Agjencia për Informim dhe Privatësi përkujdeset për aspektet përmbajtjesore të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ueb faqeve të institucionit publik, ndërsa Agjencia e Shoqërisë së Informacionit për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 xml:space="preserve">aspektet teknike të </w:t>
      </w:r>
      <w:proofErr w:type="spellStart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hostimit</w:t>
      </w:r>
      <w:proofErr w:type="spellEnd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;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2.10. Qeveria e Kosovës mund të caktojë, me vendim, përmbajtjen shtesë për ueb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faqet e institucioneve publike.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</w:r>
    </w:p>
    <w:p w:rsidR="00551663" w:rsidRDefault="003142D5" w:rsidP="003142D5">
      <w:pPr>
        <w:spacing w:line="285" w:lineRule="atLeast"/>
        <w:textAlignment w:val="baseline"/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</w:pP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t>Neni 6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Publikimi i dokumenteve publike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 xml:space="preserve">1. Institucionet publike detyrohen të publikojnë, në mënyrë </w:t>
      </w:r>
      <w:proofErr w:type="spellStart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proaktive</w:t>
      </w:r>
      <w:proofErr w:type="spellEnd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, çdo dokument publik, të</w:t>
      </w:r>
      <w:r w:rsidR="00551663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prodhuar, të pranuar, të mbajtur apo të kontrolluar nga to, menjëherë pasi dokumentet e tilla të</w:t>
      </w:r>
      <w:r w:rsidR="00551663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jenë bërë të gatshme për publikim, por jo më larg se pesëmbëdhjetë (15) ditë nga momenti i</w:t>
      </w:r>
      <w:r w:rsidR="00551663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bërjes së tyre të qasshme.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 xml:space="preserve">2. Përjashtimisht nga paragrafi 1. i këtij neni, institucionet publike nuk publikojnë </w:t>
      </w:r>
      <w:proofErr w:type="spellStart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proaktivisht</w:t>
      </w:r>
      <w:proofErr w:type="spellEnd"/>
      <w:r w:rsidR="00551663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ato dokumente publike, të cilat përmbajnë të dhëna që përbëjnë bazë për refuzimin e qasjes në</w:t>
      </w:r>
      <w:r w:rsidR="00551663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dokumente publike në bazë të nenit 17 të këtij ligji.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3. Me rastin e vendosjes nëse dokumentet publike përmbajnë ndonjërin prej kufizimeve të</w:t>
      </w:r>
      <w:r w:rsidR="00551663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parapara me nenin 17 të këtij ligji, institucionet publike detyrohen të bëjnë testin e dëmit dhe të</w:t>
      </w:r>
      <w:r w:rsidR="00551663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interesit publik para vendosjes për mospublikim të dokumenteve të tilla.</w:t>
      </w:r>
    </w:p>
    <w:p w:rsidR="003967DA" w:rsidRDefault="003142D5" w:rsidP="003142D5">
      <w:pPr>
        <w:spacing w:line="285" w:lineRule="atLeast"/>
        <w:textAlignment w:val="baseline"/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</w:pP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</w: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t>Neni 7</w:t>
      </w: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br/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Format e publikimit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1. Dokumentet publike të publikuara nga vetë institucionet publike, bëhen publike në njërën nga</w:t>
      </w:r>
      <w:r w:rsidR="00551663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format e mëposhtme: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1.1. elektronike;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1.2. të shtypur;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1.3. përmes transmetimit; apo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1.4. në çfarëdo forme tjetër, e cila mundëson qasjen e numrit sa më të madh të publikut.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2. Dokumentet publike të publikuara nga vetë institucionet publike, bëhen publike në gjuhët</w:t>
      </w:r>
      <w:r w:rsidR="00551663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zyrtare të aplikueshme në Republikën e Kosovës, në përputhje me ligjin përkatës mbi përdorimin</w:t>
      </w:r>
      <w:r w:rsidR="00551663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e gjuhëve.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</w:r>
    </w:p>
    <w:p w:rsidR="003967DA" w:rsidRDefault="003142D5" w:rsidP="003142D5">
      <w:pPr>
        <w:spacing w:line="285" w:lineRule="atLeast"/>
        <w:textAlignment w:val="baseline"/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</w:pP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lastRenderedPageBreak/>
        <w:t>KAPITULLI III</w:t>
      </w: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br/>
        <w:t>PUBLIKIMI I TË DHËNAVE TË HAPURA</w:t>
      </w: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br/>
      </w:r>
    </w:p>
    <w:p w:rsidR="003967DA" w:rsidRDefault="003142D5" w:rsidP="003142D5">
      <w:pPr>
        <w:spacing w:line="285" w:lineRule="atLeast"/>
        <w:textAlignment w:val="baseline"/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</w:pP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t>Neni 8</w:t>
      </w: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br/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Parimet e hapjes së të dhënave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1.Në publikimin e të dhënave të hapura, institucionet publike udhëhiqen nga parimet e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mëposhtme: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1.1. të dhënat e hapura publikohen me iniciativë të vetë institucioneve publike, pa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kërkesë të palëve të interesuara, në kohë dhe në mënyrë gjithëpërfshirëse, të saktë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dhe me cilësi të lartë;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1.2. të dhënat e hapura publikohen në atë mënyrë që të jenë të qasshme nga të gjitha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palët e interesuara dhe në një formë që mundësojnë përdorimin e tyre të lirë dhe të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pavarur;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1.3. të dhënat e hapura duhet të mundësojnë krahasimin dhe ndërveprimin ndërmjet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tyre dhe të publikohen në format që mundësojnë leximin nga njerëzit dhe pajisjet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teknologjike;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1.4. të dhënat e hapura publikohen me qëllim të përmirësimit të qeverisjes dhe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angazhimit qytetar në qeverisje.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 xml:space="preserve">2. Institucionet publike zhvillojnë </w:t>
      </w:r>
      <w:proofErr w:type="spellStart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linjëveprime</w:t>
      </w:r>
      <w:proofErr w:type="spellEnd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, të cilat mundësojnë hapjen e të dhënave nga ana</w:t>
      </w:r>
      <w:r w:rsidR="00551663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e tyre, si dhe inkurajojnë qytetarët, shoqërinë civile dhe sektorin privat për hapjen e të dhënave</w:t>
      </w:r>
      <w:r w:rsidR="00551663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të tyre.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</w:r>
    </w:p>
    <w:p w:rsidR="003967DA" w:rsidRDefault="003142D5" w:rsidP="003142D5">
      <w:pPr>
        <w:spacing w:line="285" w:lineRule="atLeast"/>
        <w:textAlignment w:val="baseline"/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</w:pP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t>Neni 9</w:t>
      </w: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br/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Publikimi i të dhënave të hapura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1. Të dhënat e hapura publikohen në një portal qendror për të dhëna të hapura, i cili zhvillohet</w:t>
      </w:r>
      <w:r w:rsidR="00551663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dhe menaxhohet nga ministria përgjegjëse për administratë publike.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2. Të dhënat e hapura publikohen në format të hapur, i cili mundëson leximin dhe modifikimin e</w:t>
      </w:r>
      <w:r w:rsidR="00551663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tyre pa barriera teknologjike, të cilat mund të lexohen nga pajisjet teknologjike dhe njerëzit, dhe</w:t>
      </w:r>
      <w:r w:rsidR="00551663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që ofron qasje tek të gjitha përmbledhjet e të dhënave.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3. Të dhënat e hapura publikohen me licencë të hapur, e cila mundëson përdorimin e lirë të</w:t>
      </w:r>
      <w:r w:rsidR="00551663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të</w:t>
      </w:r>
      <w:proofErr w:type="spellEnd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dhënave, shpërndarjen e serishme të </w:t>
      </w:r>
      <w:proofErr w:type="spellStart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të</w:t>
      </w:r>
      <w:proofErr w:type="spellEnd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dhënave, përfshirë edhe, por pa u kufizuar përmes</w:t>
      </w:r>
      <w:r w:rsidR="00551663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shitjes, modifikimit dhe përfshirjes së tyre në punë më të gjëra.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4. Me qëllim që të kenë qasje në të dhënat e hapura, përdoruesit detyrohen të tregojnë burimin</w:t>
      </w:r>
      <w:r w:rsidR="00551663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e të dhënave, si dhe të njohin të drejtat e pronësisë intelektuale mbi të dhënat e personave të</w:t>
      </w:r>
      <w:r w:rsidR="00551663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tjerë dhe të garantojnë paprekshmërinë e të dhënave.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5. Institucionet publike caktojnë zyrtarin përgjegjës, i cili do të shërbejë, përveç tjerash, edhe si</w:t>
      </w:r>
      <w:r w:rsidR="00551663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zyrtar ndërlidhës për publikim të </w:t>
      </w:r>
      <w:proofErr w:type="spellStart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të</w:t>
      </w:r>
      <w:proofErr w:type="spellEnd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dhënave të hapura.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6. Ministria përkatëse e administratës publike do të caktojë një zyrtar përgjegjës nga Agjencia</w:t>
      </w:r>
      <w:r w:rsidR="00551663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e Shoqërisë së informacionit për të koordinuar veprimet për publikimin e të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lastRenderedPageBreak/>
        <w:t>dhënave të hapura.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</w:r>
    </w:p>
    <w:p w:rsidR="003967DA" w:rsidRDefault="003142D5" w:rsidP="003142D5">
      <w:pPr>
        <w:spacing w:line="285" w:lineRule="atLeast"/>
        <w:textAlignment w:val="baseline"/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</w:pP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t>KAPITULLI IV</w:t>
      </w: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br/>
        <w:t>QASJA NË DOKUMENTE PUBLIKE NË BAZË TË KËRKESËS</w:t>
      </w: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br/>
      </w:r>
    </w:p>
    <w:p w:rsidR="003967DA" w:rsidRDefault="003142D5" w:rsidP="003142D5">
      <w:pPr>
        <w:spacing w:line="285" w:lineRule="atLeast"/>
        <w:textAlignment w:val="baseline"/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</w:pP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t>Neni 10</w:t>
      </w: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br/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Kërkesa për qasje në dokumente publike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1. Secili person ka të drejtë për qasje në dokumente publike në bazë të kërkesës.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2. Kërkesat për qasje në dokumente publike parashtrohen në çfarëdo mënyre, e cila i mundëson</w:t>
      </w:r>
      <w:r w:rsidR="00551663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institucionit publik të identifikojë nëse posedon dokumentin publik të kërkuar.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 xml:space="preserve">3. Kërkesa mund të bëhet nga personi, me shkrim, në formë elektronike, ose </w:t>
      </w:r>
      <w:proofErr w:type="spellStart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verbalisht</w:t>
      </w:r>
      <w:proofErr w:type="spellEnd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. Për aq</w:t>
      </w:r>
      <w:r w:rsidR="00551663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sa është e mundshme, kërkesa duhet të përmbajë edhe formën e preferuar nga kërkuesi për</w:t>
      </w:r>
      <w:r w:rsidR="00551663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qasje në dokumente publike.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 xml:space="preserve">4. Nëse kërkesa bëhet </w:t>
      </w:r>
      <w:proofErr w:type="spellStart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verbalisht</w:t>
      </w:r>
      <w:proofErr w:type="spellEnd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, zyrtari përgjegjës për qasje në dokumente publike obligohet</w:t>
      </w:r>
      <w:r w:rsidR="00551663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të hartojë kërkesën me shkrim për procedim të mëtejmë. Nëse kërkesa bëhet në formë</w:t>
      </w:r>
      <w:r w:rsidR="00551663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elektronike, atëherë ajo konsiderohet si kërkesë me shkrim.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5. Kërkuesi i ndonjë dokumenti publik nuk është i obliguar që të japë arsye për përdorimin e</w:t>
      </w:r>
      <w:r w:rsidR="00551663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dokumenteve publik për të pasur qasje në dokumente publike.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6. Nëse kërkesa nuk është sa duhet e saktë dhe nuk mundëson identifikimin e dokumentit</w:t>
      </w:r>
      <w:r w:rsidR="00551663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publik që kërkohet, institucioni publik kërkon nga kërkuesi që ta qartësojë kërkesën dhe mund</w:t>
      </w:r>
      <w:r w:rsidR="003967DA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t’i ndihmojë kërkuesit që </w:t>
      </w:r>
      <w:proofErr w:type="spellStart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t’a</w:t>
      </w:r>
      <w:proofErr w:type="spellEnd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bëjë një gjë të tillë.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7. Kërkuesi i ndonjë dokumenti publik ka të drejtë që të mbetet anonim në raport me palët e</w:t>
      </w:r>
      <w:r w:rsidR="00551663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treta.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8. Institucionet publike i ofrojnë personave ndihmë se si dhe ku mund të parashtrohen kërkesat</w:t>
      </w:r>
      <w:r w:rsidR="00551663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për qasje në dokumente publike.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9. Formalitetet për kërkesa nuk tejkalojnë atë që është e domosdoshme dhe e arsyeshme për</w:t>
      </w:r>
      <w:r w:rsidR="00551663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të përpunuar kërkesën.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</w:r>
    </w:p>
    <w:p w:rsidR="003967DA" w:rsidRDefault="003142D5" w:rsidP="003142D5">
      <w:pPr>
        <w:spacing w:line="285" w:lineRule="atLeast"/>
        <w:textAlignment w:val="baseline"/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</w:pP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t>Neni 11</w:t>
      </w: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br/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Trajtimi i kërkesave për qasje në dokumente publike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1. Kërkesat për qasje në dokumente publike apo për ripërdorim të dokumenteve publike</w:t>
      </w:r>
      <w:r w:rsidR="003967DA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trajtohen nga cilido institucion publik që posedon dokumentin publik të kërkuar.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2. Zyrtari përgjegjës brenda institucionit publik, me vendim, lejon ose refuzon qasjen në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dokumente publike.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3. Nëse institucioni publik nuk prodhon apo pranon, apo nuk disponon ose nuk e kontrollon</w:t>
      </w:r>
      <w:r w:rsidR="003967DA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dokumentin publik të kërkuar dhe ka njohuri për institucionin publik tjetër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lastRenderedPageBreak/>
        <w:t>që e ka prodhuar,</w:t>
      </w:r>
      <w:r w:rsidR="003967DA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pranuar, disponon apo kontrollon dokumentin publik, menjëherë, por jo më vonë se pesë (5)</w:t>
      </w:r>
      <w:r w:rsidR="003967DA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ditë pune nga dita e pranimit të kërkesës nga kërkuesi, detyrohet që ta informojë dhe udhëzojë</w:t>
      </w:r>
      <w:r w:rsidR="003967DA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kërkuesin për tek institucioni publik përkatës.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4. Në rast se institucioni publik nuk e ka prodhuar apo pranuar, nuk disponon ose nuk e</w:t>
      </w:r>
      <w:r w:rsidR="003967DA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kontrollon dokumentin publik të kërkuar dhe nuk ka njohuri për institucionin publik tjetër që e ka</w:t>
      </w:r>
      <w:r w:rsidR="003967DA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prodhuar, pranuar, disponon apo kontrollon dokumentin publik, menjëherë, por jo më vonë se</w:t>
      </w:r>
      <w:r w:rsidR="003967DA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shtatë (7) ditë pune nga dita e pranimit të kërkesës nga kërkuesi, detyrohet që ta informojë për</w:t>
      </w:r>
      <w:r w:rsidR="003967DA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këtë kërkuesin dhe ta udhëzojë atë që t’i drejtohet Agjencisë, i cili obligohet të konfirmoj nëse</w:t>
      </w:r>
      <w:r w:rsidR="003967DA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dhe cili institucion publik ka prodhuar, pranuar, disponon ose kontrollon dokumentin publik të</w:t>
      </w:r>
      <w:r w:rsidR="003967DA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kërkuar, dhe menjëherë, por jo më vonë se shtatë (7) ditë pune nga dita e pranimit të kërkesës,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të njoftojë për këtë kërkuesin.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5. Institucioni publik ndihmon kërkuesin, aq sa është e mundshme dhe e arsyeshme, të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identifikojë dokumentin e kërkuar.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6. Kërkesat për qasje në dokumente publike, apo për ripërdorim të dokumenteve publike</w:t>
      </w:r>
      <w:r w:rsidR="003967DA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trajtohen me shpejtësi dhe sipas parimit të objektivitetit dhe paanshmërisë sipas Ligjit përkatës</w:t>
      </w:r>
      <w:r w:rsidR="003967DA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për Procedurën e përgjithshme administrative.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</w:r>
    </w:p>
    <w:p w:rsidR="003967DA" w:rsidRDefault="003142D5" w:rsidP="003142D5">
      <w:pPr>
        <w:spacing w:line="285" w:lineRule="atLeast"/>
        <w:textAlignment w:val="baseline"/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</w:pP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t>Neni 12</w:t>
      </w: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br/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Afatet për trajtimin e kërkesave për qasje në dokumente publike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1. Institucioni publik detyrohet që brenda shtatë (7) ditëve prej kohës së regjistrimit të kërkesës,</w:t>
      </w:r>
      <w:r w:rsidR="003967DA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të nxjerrë vendim për lejimin e qasjes në dokumentin e kërkuar ose të nxjerrë vendim të</w:t>
      </w:r>
      <w:r w:rsidR="003967DA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arsyetuar për refuzimin e plotë apo të pjesshëm dhe informon kërkuesin për të drejtën që ai ka</w:t>
      </w:r>
      <w:r w:rsidR="003967DA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për të kërkuar rishqyrtimin e kërkesës si dhe kur dhe ku të paraqitet kërkesa e tillë.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2. Kur dokumenti publik i kërkuar, i cili në bazë të një vlerësimi të arsyeshëm shihet të jetë i</w:t>
      </w:r>
      <w:r w:rsidR="003967DA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nevojshëm për mbrojtjen e jetës apo lirisë së një personi, institucioni publik detyrohet të ofrojë</w:t>
      </w:r>
      <w:r w:rsidR="003967DA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përgjigje brenda afatit prej dyzet e tetë (48) orëve.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3. Institucioni publik mund të vazhdojë afatin e përcaktuar nga paragrafi 1. i këtij neni për</w:t>
      </w:r>
      <w:r w:rsidR="003967DA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marrjen e vendimit për qasje në dokumente publike më së shumti edhe për pesëmbëdhjetë (15)</w:t>
      </w:r>
      <w:r w:rsidR="003967DA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ditë shtesë, në qoftë se: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3.1. dokumenti duhet të kërkohet brenda një numri të madh të dokumenteve apo jashtë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institucionit publik; ose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3.2. me një kërkesë kërkohen një numër i madh i dokumenteve publike, nga e njëjta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palë.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4. Institucioni publik njofton kërkuesin me ecurinë dhe arsyet që kanë shkaktuar shtyrjen e</w:t>
      </w:r>
      <w:r w:rsidR="003967DA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afatit, menjëherë, por jo më vonë se tetë (8) ditë nga pranimi i kërkesës.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</w:r>
    </w:p>
    <w:p w:rsidR="003967DA" w:rsidRDefault="003142D5" w:rsidP="003142D5">
      <w:pPr>
        <w:spacing w:line="285" w:lineRule="atLeast"/>
        <w:textAlignment w:val="baseline"/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</w:pP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lastRenderedPageBreak/>
        <w:t>Neni 13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Zyrtarët përgjegjës për qasje në dokumente publike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1. Të gjitha institucionet publike detyrohen të caktojnë njësinë apo një zyrtar përgjegjës për</w:t>
      </w:r>
      <w:r w:rsidR="003967DA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qasje në dokumente publike.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2. Të gjitha kërkesat për qasje në dokumente publike, të cilat i drejtohen institucionit publik, i</w:t>
      </w:r>
      <w:r w:rsidR="003967DA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dërgohen njësisë apo zyrtarit përgjegjës për qasje në dokumente publike.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3. Njësia apo zyrtari përgjegjës për qasje në dokumente publike, pas marrjes dhe shqyrtimit</w:t>
      </w:r>
      <w:r w:rsidR="003967DA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fillestar të kërkesës për qasje në dokumente publike, identifikon se cila është njësia përkatëse</w:t>
      </w:r>
      <w:r w:rsidR="00551663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brenda institucionit publik që ka në posedim ose kontroll dokumentin e kërkuar.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4. Pas lejimit të qasjes sipas këtij ligji, njësia përkatëse brenda institucionit publik, këtë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dokument, në pajtim me kushtet e parapara me këtë ligj dhe ligjet tjera në fuqi, ia dërgon</w:t>
      </w:r>
      <w:r w:rsidR="003967DA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kërkuesit të dokumentit.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5. Njësia apo zyrtari përgjegjës për qasje në dokumente publike mbanë evidencë të saktë për</w:t>
      </w:r>
      <w:r w:rsidR="003967DA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numrin e kërkesave për qasje në dokumente si dhe të dhëna tjera me rëndësi në lidhje me</w:t>
      </w:r>
      <w:r w:rsidR="003967DA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numrin e kërkesave të aprovuara, aprovuara pjesërisht dhe të refuzuara, si dhe arsyetimin e</w:t>
      </w:r>
      <w:r w:rsidR="003967DA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dhënë dhe informatat e tjera relevante që e bëjnë të mundur identifikimin e kërkesës përkatëse.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6. Njësia apo zyrtari përgjegjës për qasje në dokumente publike përgatitë raportet e rregullta</w:t>
      </w:r>
      <w:r w:rsidR="003967DA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vjetore, më së largu deri më datën 31 janar të vitit vijues, për vitin paraprak dhe këto raporte</w:t>
      </w:r>
      <w:r w:rsidR="003967DA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ia dërgon Agjencisë për Informim dhe Privatësi, i cili përgatitë raportin gjithëpërfshirës të</w:t>
      </w:r>
      <w:r w:rsidR="003967DA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institucioneve publike për realizimin e të drejtës për qasje në dokumente publike.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7. Zyra e arkivit në secilin institucion publik detyrohet që të hartojë regjistrin e dokumenteve</w:t>
      </w:r>
      <w:r w:rsidR="003967DA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publike që përmban, e që janë të qasshme lirisht për publikun. Ky regjistër duhet të përditësohet</w:t>
      </w:r>
      <w:r w:rsidR="003967DA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çdo tre (3) muaj.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</w:r>
    </w:p>
    <w:p w:rsidR="003967DA" w:rsidRDefault="003142D5" w:rsidP="003142D5">
      <w:pPr>
        <w:spacing w:line="285" w:lineRule="atLeast"/>
        <w:textAlignment w:val="baseline"/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</w:pP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t>Neni 14</w:t>
      </w: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br/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Format e qasjes në dokumente publike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1. Kur institucioni publik lejon qasjen në dokumente publike, kërkuesi ka të drejtë të zgjedhë</w:t>
      </w:r>
      <w:r w:rsidR="003967DA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formën për qasje në dokumentet të tilla.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2. Në rastet kur kërkesa për qasje përmban një formë të parapëlqyer për qasje, atëherë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institucioni publik ka për detyrim të veprojë në përputhje me atë parapëlqim.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3. Një kërkesë mund të përmbajë format e parapëlqyera për qasje në dokumente dhe institucione</w:t>
      </w:r>
      <w:r w:rsidR="003967DA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publike si në vijim: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3.1. një kopje e saktë në formë të shtypur ose tjetër të dokumenteve publike të kërkuara;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3.2. mundësinë për shikim të dokumenteve publike, kurdo që është e mundshme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përmes përdorimit të pajisjeve të vet institucionit;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3.3. mundësinë për të kopjuar dokumentet publike, përmes pajisjeve të vet kërkuesit;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lastRenderedPageBreak/>
        <w:t xml:space="preserve">3.4. një </w:t>
      </w:r>
      <w:proofErr w:type="spellStart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transkript</w:t>
      </w:r>
      <w:proofErr w:type="spellEnd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të shkruar të fjalëve të përmbajtura në formë audio ose </w:t>
      </w:r>
      <w:proofErr w:type="spellStart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vizuele</w:t>
      </w:r>
      <w:proofErr w:type="spellEnd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nëse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ekziston apo rrjedh nga një takim i hapur;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 xml:space="preserve">3.5. një </w:t>
      </w:r>
      <w:proofErr w:type="spellStart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transkript</w:t>
      </w:r>
      <w:proofErr w:type="spellEnd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të përmbajtjes së një incizimi, në formë të shtypur, audio ose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</w:r>
      <w:proofErr w:type="spellStart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vizuele</w:t>
      </w:r>
      <w:proofErr w:type="spellEnd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, në rastet kur një </w:t>
      </w:r>
      <w:proofErr w:type="spellStart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transkript</w:t>
      </w:r>
      <w:proofErr w:type="spellEnd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i tillë ekziston, duke përdorur pajisjet, të cilat janë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përgjithësisht të qasshme për institucionin publik.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4. Në rast se një dokument publik ekziston në më shumë se një gjuhë, atëherë qasja ofrohet në</w:t>
      </w:r>
      <w:r w:rsidR="003967DA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dokumentin publik në gjuhën e parapëlqyer të kërkuesit.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5. Një institucion publik nuk është i detyruar të ofrojë qasje në dokumentet publike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</w:r>
      <w:proofErr w:type="spellStart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domosdoshmërisht</w:t>
      </w:r>
      <w:proofErr w:type="spellEnd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në formën e kërkuar nga kërkuesi, në rastet kur një gjë e tillë: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5.1. do të ndërhynte në mënyrë të paarsyeshme në operimin efektiv të institucionit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publik;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5.2. do të shkaktonte dëm të pariparueshëm në ruajtjen, mirëmbajtjen dhe trashëgiminë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e ndonjë dokumenti publik;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5.3. do të përbënte obligim për institucionin publik që të krijojë apo të përshtatë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dokumente publike apo të jep përmbledhje të informatave kur kjo do të përfshinte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 xml:space="preserve">përpjekje </w:t>
      </w:r>
      <w:proofErr w:type="spellStart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joproporcionale</w:t>
      </w:r>
      <w:proofErr w:type="spellEnd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, që shkon përtej një operimi të thjeshtë.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6. Institucioni publik mund të ofrojë qasje në ndonjë dokument publik duke drejtuar kërkuesin në</w:t>
      </w:r>
      <w:r w:rsidR="003967DA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burime alternative që mund të qasen më lehtë.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7. Nëse dokumenti është bërë publik me iniciativë të institucionit publik dhe është e mundshme</w:t>
      </w:r>
      <w:r w:rsidR="003967DA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që kërkuesi të ketë qasje të lehtë në të, institucioni publik mund ta përmbushë detyrimin e vet</w:t>
      </w:r>
      <w:r w:rsidR="003967DA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të lejimit të qasjes në dokumente publike duke e informuar kërkuesin se ku dhe si ta marrë</w:t>
      </w:r>
      <w:r w:rsidR="003967DA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dokumentin publik të kërkuar.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</w:r>
    </w:p>
    <w:p w:rsidR="00D51214" w:rsidRDefault="003142D5" w:rsidP="003142D5">
      <w:pPr>
        <w:spacing w:line="285" w:lineRule="atLeast"/>
        <w:textAlignment w:val="baseline"/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</w:pP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t>Neni 15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Shpenzimet për qasje në dokumente publike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1. Shikimi i dokumenteve publike në objektet e institucionit publik është pa pagesë, duke mos</w:t>
      </w:r>
      <w:r w:rsidR="003967DA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ndaluar caktimin e tarifave për shërbimet e ndërlidhura të ofruara nga bibliotekat, arkivat dhe</w:t>
      </w:r>
      <w:r w:rsidR="003967DA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muzetë.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2. Një tarifë mund t’i ngarkohet kërkuesit për kopje të dokumentit publik, e cila është e arsyeshme</w:t>
      </w:r>
      <w:r w:rsidR="003967DA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dhe nuk mund të tejkalojë shpenzimet e vërteta të riprodhimit dhe furnizimit të dokumentit.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3. Kur bibliotekat, arkivat dhe muzetë kërkojnë tarifa, të ardhurat e përgjithshme nga dhënia dhe</w:t>
      </w:r>
      <w:r w:rsidR="003967DA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lejimi i ripërdorimit të dokumenteve publike përgjatë periudhës së duhur të kontabilitetit nuk e</w:t>
      </w:r>
      <w:r w:rsidR="003967DA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tejkalon koston e grumbullimit, prodhimit, riprodhimit, shpërndarjes, ruajtjes dhe verifikim të </w:t>
      </w:r>
      <w:proofErr w:type="spellStart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të</w:t>
      </w:r>
      <w:proofErr w:type="spellEnd"/>
      <w:r w:rsidR="003967DA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drejtave, së bashku me një kthim të arsyeshëm nga investimi.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4. Tarifa nuk mund të ngarkohet në lidhje me kërkesat për të dhëna personale.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5. Tarifat për shpenzimet e prodhimit dhe dërgimit të dokumenteve apo kopjes së dokumenteve</w:t>
      </w:r>
      <w:r w:rsidR="003967DA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rregullohen me akt nënligjor të nxjerrë nga ministria përkatëse për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lastRenderedPageBreak/>
        <w:t>financa dhe janë unike për</w:t>
      </w:r>
      <w:r w:rsidR="003967DA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të gjitha institucionet publike.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6. Për tarifat standarde për ripërdorimin e dokumenteve publike, çdo kusht i vlefshëm dhe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shuma e atyre tarifave, si dhe baza e llogaritjes së atyre tarifave, caktohet paraprakisht dhe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publikohet, përmes mjeteve elektronike, aty ku është e mundur dhe e nevojshme.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7. Nëse dokumentet ripërdoren nga ndonjë institucion publik si kontribut për aktivitetet e tij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komerciale që janë jashtë fushëveprimit të detyrave të tij publike, tarifat e njëjta dhe kushtet e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tjera që vlejnë edhe për përdoruesit e tjerë vlejnë edhe për dhënien e dokumenteve publike për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ato aktivitete.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</w:r>
    </w:p>
    <w:p w:rsidR="00D51214" w:rsidRDefault="003142D5" w:rsidP="003142D5">
      <w:pPr>
        <w:spacing w:line="285" w:lineRule="atLeast"/>
        <w:textAlignment w:val="baseline"/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</w:pP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t>Neni 16</w:t>
      </w: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br/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Ndalimi i ujdive përjashtuese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1. Ripërdorimi i dokumenteve është i hapur për të gjitha palët potenciale në treg edhe në rastet</w:t>
      </w:r>
      <w:r w:rsidR="00551663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kur ato veçse i shfrytëzojnë produktet me vlerë të shtuar në bazë të këtyre dokumenteve.</w:t>
      </w:r>
      <w:r w:rsidR="00551663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Kontratat apo ujditë tjera mes organeve të sektorit publik që i mbajnë dokumentet dhe palëve</w:t>
      </w:r>
      <w:r w:rsidR="00551663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të treta nuk lejohet të garantojnë të drejta përjashtuese.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2. Në rastet kur e drejta përjashtuese është e domosdoshme për ofrimin e ndonjë shërbimi në</w:t>
      </w:r>
      <w:r w:rsidR="00551663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interesin publik, kjo e drejtë shqyrtohet çdo tri (3) vite.</w:t>
      </w:r>
    </w:p>
    <w:p w:rsidR="00D51214" w:rsidRDefault="003142D5" w:rsidP="003142D5">
      <w:pPr>
        <w:spacing w:line="285" w:lineRule="atLeast"/>
        <w:textAlignment w:val="baseline"/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</w:pP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</w: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t>KAPITULLI V</w:t>
      </w: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br/>
        <w:t>REFUZIMI I QASJES NË DOKUMENTE PUBLIKE</w:t>
      </w: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br/>
      </w:r>
    </w:p>
    <w:p w:rsidR="00D51214" w:rsidRDefault="003142D5" w:rsidP="003142D5">
      <w:pPr>
        <w:spacing w:line="285" w:lineRule="atLeast"/>
        <w:textAlignment w:val="baseline"/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</w:pP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t>Neni 17</w:t>
      </w: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br/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Bazat e lejueshme për refuzimin e qasjes në dokumente publike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1. Çdo kërkues ka të drejtë të ketë qasje në dokumente publike. Pavarësisht nga cilido paragraf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i këtij neni, një institucion publik nuk mund të refuzojë të tregojë nëse ka në posedim një</w:t>
      </w:r>
      <w:r w:rsidR="00551663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dokument apo të refuzojë qasjen në një dokument publik, përderisa nuk bën një test të dëmit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dhe interesit publik për të përcaktuar nëse dëmi i shkaktuar interesit të mbrojtur mbisundon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interesin e publikut për qasje në atë dokument publik.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2. Kufizimi i të drejtës për qasje në dokumente publike ushtrohet në përputhje me parimin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e </w:t>
      </w:r>
      <w:proofErr w:type="spellStart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proporcionalitetit</w:t>
      </w:r>
      <w:proofErr w:type="spellEnd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sipas ligjit përkatës për Procedurën e përgjithshme administrative, në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përputhje me këtë ligj dhe vetëm për qëllime të mbrojtjes së: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2.1. jetës, shëndetit dhe të sigurisë publike;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2.2. sigurisë shtetërore, mbrojtjes dhe të marrëdhënieve ndërkombëtare;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2.3. parandalimit, hetimit dhe ndjekjes së veprave penale në rastet kur publikimi i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dokumenteve publike mund të dëmtojë procesin e hetimit;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 xml:space="preserve">2.4. hetimet disiplinore, në rastet kur publikimi i dokumenteve publike mund të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lastRenderedPageBreak/>
        <w:t>dëmtojë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procedurën disiplinore;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2.5. inspektimit, kontrollimit dhe mbikëqyrjes nga institucionet publike në rastet kur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trajtojnë informacion të klasifikuar;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2.6. të drejtës për privatësi dhe e drejta e fshirjes (‘E drejta për t’u harruar’);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 xml:space="preserve">2.7. </w:t>
      </w:r>
      <w:proofErr w:type="spellStart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konfidencialitetit</w:t>
      </w:r>
      <w:proofErr w:type="spellEnd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komercial siç janë sekretet e biznesit, sekretet profesionale apo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të kompanisë;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2.8. dokumenteve për të cilat institucioni publik apo palët e treta gëzojnë të drejtat e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pronësisë intelektuale;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 xml:space="preserve">2.9. politikave ekonomike, monetare dhe </w:t>
      </w:r>
      <w:proofErr w:type="spellStart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këmbimore</w:t>
      </w:r>
      <w:proofErr w:type="spellEnd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të shtetit;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 xml:space="preserve">2.10. </w:t>
      </w:r>
      <w:proofErr w:type="spellStart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konfidencialitet</w:t>
      </w:r>
      <w:proofErr w:type="spellEnd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statistikor;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2.11. barazisë së palëve në procedura gjyqësore dhe administrimin efikas të drejtësisë;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2.12. diskutimeve brenda apo ndërmjet institucioneve publike lidhur me shqyrtimin e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ndonjë çështjeje, e cila përbën dokument të klasifikuar.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3. Qasja në dokumente publike gjithnjë lejohet, nëse: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3.1. dokumenti publik i kërkuar ka të bëjnë me shpenzimet e parasë publike;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3.2. dokumenti publik lidhet me zbatimin e funksioneve publike ose marrëdhëniet e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punësimit të zyrtarëve publik, përveç në rastet kur ka të dhëna personale të mbrojtura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apo kur saktësohet ndryshe në ligjet përkatëse;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3.3. dokumenti publik i kërkuar ka të bëjë me mjedisin, mbeturinat, substanca të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rrezikshme ose informata të raporteve të sigurisë në mjedis, ashtu si janë të parapara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me ligjin përkatës për mbrojtjen e mjedisit.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4. Nëse vetëm një pjesë e dokumenteve publike të kërkuara mbulohet me ndonjë prej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përjashtimeve të përmendura në paragrafin 2. të këtij neni, pjesët e mbetura të dokumentit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publik bëhen publike.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5. Kërkesa për qasje në dokumente publike mund të refuzohet nëse: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5.1. pa marrë parasysh ndihmën nga institucioni publik, kërkesa mbetet tejet e paqartë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për të mundësuar identifikimin e dokumentit;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5.2. nëse janë plotësuar kushtet dhe kërkesat nga paragrafët 2. dhe 4. i këtij neni.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6. Para marrjes së vendimit për refuzimin e kërkesës për qasje në dokumente publike në tërësi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ose pjesërisht, sipas paragrafit 2. të këtij neni, institucioni publik detyrohet të bëjë testin e dëmit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dhe të interesit publik në përputhje me nenin 18 të këtij ligji.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7. Institucioni publik, i cili refuzon qasjen në dokumentin publik në tërësi apo pjesërisht, duhet të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nxjerrë vendim për refuzim dhe në të </w:t>
      </w:r>
      <w:proofErr w:type="spellStart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të</w:t>
      </w:r>
      <w:proofErr w:type="spellEnd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japë arsye mbi refuzimin dhe të shpjegojë arsyet se si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ka bërë testin sipas nenit 18 të këtij ligji dhe si ka ardhur në përfundimin për të refuzuar qasjen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sipas paragrafit 2. të këtij neni.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8. Vendimi duhet të jetë me shkrim dhe duhet t’i dorëzohet kërkuesit personalisht, përmes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postës së regjistruar apo përmes e-</w:t>
      </w:r>
      <w:proofErr w:type="spellStart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mailit</w:t>
      </w:r>
      <w:proofErr w:type="spellEnd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, në rast se kërkuesi ka përdorur këtë metodë për të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kërkuar dokumentin publik dhe duhet të përmbajë mjetin juridik që kërkuesi mund të përdorë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kundër vendimit për refuzim.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lastRenderedPageBreak/>
        <w:br/>
      </w: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t>Neni 18</w:t>
      </w: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br/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Testi i dëmit dhe interesit publik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1. Para se të vendosë për refuzimin e kërkesës për qasje në dokumente publik, sipas nenit 17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të këtij ligji, institucionet publike detyrohen të bëjnë testin e dëmit dhe të interesit publik.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2. Institucionet publike përcaktojnë, në bazë të testit të dëmit dhe të interesit publik, në rast se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interesat e mbrojtura me paragrafin 2. të nenit 17 mbisundojnë interesin publik për publikimin e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dokumenteve publike.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3. Agjencia, jo më larg se gjashtë (6) muaj nga hyrja në fuqi e këtij ligji, miraton udhëzime të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qarta për institucionet publike për përmbajtjen dhe mënyrën e bërjes së testit të dëmit dhe të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interesit publik në procedurën e marrjes së vendimit dhe arsyetimit të vendimeve për refuzimin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e qasjes në dokumente publike në bazë të nenit 17 të këtij ligji.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4. Nëse kërkesa ka të bëjë me cilëndo nga çështjet e cekura në nenin 17 paragrafin 3. të këtij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Ligji, dokumentet publike duhet të bëhen të qasshme pa bërë ndonjë lloj testi, përveç nëse janë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të kufizuara me ndonjë ligj tjetër në fuqi.</w:t>
      </w:r>
    </w:p>
    <w:p w:rsidR="00D51214" w:rsidRDefault="003142D5" w:rsidP="003142D5">
      <w:pPr>
        <w:spacing w:line="285" w:lineRule="atLeast"/>
        <w:textAlignment w:val="baseline"/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</w:pP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</w: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t>Neni 19</w:t>
      </w: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br/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Heshtja ose </w:t>
      </w:r>
      <w:proofErr w:type="spellStart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mospërgjigja</w:t>
      </w:r>
      <w:proofErr w:type="spellEnd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e institucionit publik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 xml:space="preserve">Heshtja ose </w:t>
      </w:r>
      <w:proofErr w:type="spellStart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mospërgjigja</w:t>
      </w:r>
      <w:proofErr w:type="spellEnd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e institucionit publik brenda afatit të caktuar me këtë ligj, konsiderohet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si përgjigje negative dhe i jep të drejtë kërkuesit që të ndjekë procedurat mbi ankimin administrativ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dhe procedurën gjyqësore në përputhje me Kapitullin VII të këtij ligji.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</w:r>
    </w:p>
    <w:p w:rsidR="00D51214" w:rsidRDefault="003142D5" w:rsidP="003142D5">
      <w:pPr>
        <w:spacing w:line="285" w:lineRule="atLeast"/>
        <w:textAlignment w:val="baseline"/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</w:pP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t>Neni 20</w:t>
      </w: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br/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Ankesa pranë Agjencisë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1. Në rast se institucioni publik ka refuzuar në tërësi apo pjesërisht kërkesën për qasje në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dokumente publike apo në rast të heshtjes apo mos përgjigjes së institucionit publik, kërkuesi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mund t’i drejtohet me ankesë Agjencisë brenda afatit prej pesëmbëdhjetë (15) ditëve prej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pranimit të vendimit për refuzim ose vendimit për aprovim të pjesshëm të kërkesës për qasje.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2. Agjencia, ankesën e pranuar ia komunikon institucionit publik që ka vendosur në lidhje me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kërkesën për qasje, i cili duhet që brenda shtatë (7) ditëve pas pranimit të ankesës të ofrojë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përgjigje me shkrim ndaj pretendimeve të ngritura nga ankuesi.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 xml:space="preserve">3. Pas pranimit të përgjigjes nga ana e institucionit publik ose në rast të </w:t>
      </w:r>
      <w:proofErr w:type="spellStart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mospërgjigjes</w:t>
      </w:r>
      <w:proofErr w:type="spellEnd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, Agjencia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vendosë në lidhje me ankesën në afatin prej tridhjetë (30) ditëve. Agjencia, me akt të brendshëm,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vendosë për procedurën dhe mënyrën e vendosjes brenda këtij institucioni.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lastRenderedPageBreak/>
        <w:t>4. Agjencia mund të aprovojë në tërësi ankesën dhe ta ndryshojë vendimin e institucionit publik,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në atë mënyrë që i lejon qasjen kërkuesit tërësisht në dokumentet publike të kërkuara, në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përputhje me dispozitat e këtij ligji.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5. Agjencia mund të aprovojë pjesërisht ankesën dhe ta ndryshojë vendimin e institucionit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publik në atë mënyrë që i lejon qasjen kërkuesit pjesërisht në dokumentet publike të kërkuara,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në përputhje me dispozitat e këtij ligji.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6. Institucioni publik detyrohet të veprojë sipas vendimit të Agjencisë në afat prej shtatë (7)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ditëve.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7. Agjencia mund të refuzojë ankesën dhe të lejë në fuqi vendimin e institucionit publik për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refuzimin ose aprovimin e pjesshëm të qasjes në dokumente publike.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8. Në rast të refuzimit të plotë apo të pjesshëm të ankesës, Agjencia nxjerr vendim, i cili duhet të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përmbajë arsyet për refuzimin e ankesës dhe mjetin juridik që kërkuesi mund ta përdorë kundër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vendimit mbi refuzimin e ankesës.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9. Vendimi duhet të jetë me shkrim dhe duhet t’i dorëzohet kërkuesit personalisht, përmes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postës së regjistruar apo përmes postës elektronike, në rast se kërkuesi ka përdorur këtë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metodë për të paraqitur kërkesën për rishqyrtim.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10. Vendimi i Agjencisë është përfundimtar në procedurën administrative, i cili mund të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kundërshtohet vetëm përmes padisë në gjykatën kompetente për çështje administrative.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</w:r>
    </w:p>
    <w:p w:rsidR="00D51214" w:rsidRDefault="003142D5" w:rsidP="003142D5">
      <w:pPr>
        <w:spacing w:line="285" w:lineRule="atLeast"/>
        <w:textAlignment w:val="baseline"/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</w:pP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t>Neni 21</w:t>
      </w: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br/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Institucioni i Avokatit të Popullit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1. Institucioni i Avokatit të Popullit është organ i pavarur, i cili ndihmon qytetarët në realizimin e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të drejtës për qasje në dokumentet publike sipas Kushtetutës, këtij ligji, dhe ligjet përkatëse që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rregullojnë fushëveprimin dhe përgjegjësitë e Avokatit të Popullit.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2. Secili person ka të drejtë t’i drejtohet Institucionit të Avokatit të Popullit me kërkesë apo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ankesë nëse konsideron që ndonjë e drejtë e njohur me këtë Ligj apo akte të tjera për qasje në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dokumente publike është cenuar.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</w:r>
    </w:p>
    <w:p w:rsidR="00D51214" w:rsidRDefault="003142D5" w:rsidP="003142D5">
      <w:pPr>
        <w:spacing w:line="285" w:lineRule="atLeast"/>
        <w:textAlignment w:val="baseline"/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</w:pP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t>Neni 22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Kërkesa për mbrojtje gjyqësore përmes gjykatës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Në rast të refuzimit të plotë apo të pjesshëm të ankesës nga ana e Agjencisë, në përputhje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me nenin 20 të këtij ligji, kërkuesi mund t’i drejtohet me padi gjykatës kompetente për çështje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administrative brenda tridhjetë (30) ditëve prej ditës së pranimit të vendimit përfundimtar nga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Agjenci.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</w:r>
    </w:p>
    <w:p w:rsidR="00D51214" w:rsidRDefault="003142D5" w:rsidP="003142D5">
      <w:pPr>
        <w:spacing w:line="285" w:lineRule="atLeast"/>
        <w:textAlignment w:val="baseline"/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</w:pP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lastRenderedPageBreak/>
        <w:t>Neni 23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Aplikimi i dispozitave të Ligjit për procedurën e përgjithshme administrative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Në procedurën e realizimit të së drejtës për qasje në dokumente publike, në mënyrë të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përshtatshme, aplikohen dispozitat e ligjit për procedurën e përgjithshme administrative të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Republikës së Kosovës, nëse me dispozitat e këtij ligji nuk është përcaktuar ndryshe.</w:t>
      </w:r>
    </w:p>
    <w:p w:rsidR="00D51214" w:rsidRDefault="003142D5" w:rsidP="003142D5">
      <w:pPr>
        <w:spacing w:line="285" w:lineRule="atLeast"/>
        <w:textAlignment w:val="baseline"/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</w:pP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</w: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t>KAPITULLI VII</w:t>
      </w: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br/>
        <w:t>RIPËRDORIMI I DOKUMENTEVE DHE TË DHËNAVE PUBLIKE</w:t>
      </w: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br/>
      </w:r>
    </w:p>
    <w:p w:rsidR="00D51214" w:rsidRDefault="003142D5" w:rsidP="003142D5">
      <w:pPr>
        <w:spacing w:line="285" w:lineRule="atLeast"/>
        <w:textAlignment w:val="baseline"/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</w:pP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t>Neni 24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E Drejta për ripërdorim të dokumenteve publike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Secili person ka të drejtë të ripërdorë dokumentet publike, për qëllime komerciale ose jo, në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përputhje me dispozitat dhe kufizimet e përcaktuara me këtë ligj.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Neni 25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Kërkesa dhe lejimi i qasjes për ripërdorim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Dispozitat e kapitujve III deri V në lidhje me kërkesat për qasje në dokumente publike, për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refuzimin e kërkesave për qasje në dokumente publike dhe për ankesat dhe mjetet juridike ndaj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vendimeve për refuzimin e qasjes, vlejnë </w:t>
      </w:r>
      <w:proofErr w:type="spellStart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përshtatshmërisht</w:t>
      </w:r>
      <w:proofErr w:type="spellEnd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edhe për kërkesat për ripërdorimin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e dokumenteve publike.</w:t>
      </w:r>
    </w:p>
    <w:p w:rsidR="00D51214" w:rsidRDefault="003142D5" w:rsidP="003142D5">
      <w:pPr>
        <w:spacing w:line="285" w:lineRule="atLeast"/>
        <w:textAlignment w:val="baseline"/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</w:pP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</w: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t>Neni 26</w:t>
      </w: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br/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Kushtet dhe kufizimet për lejimin e ripërdorimit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1. Institucionet publike bëjnë dokumentet publike të qasshme për ripërdorim në cilëndo gjuhë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dhe gjendje para-ekzistuese, dhe po që se është e mundshme, në format të hapur dhe të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lexueshëm nga pajisjet teknologjike, së bashku me përmbledhjet e të dhënave të tyre.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2. Institucionet publike nuk janë të detyruara që të transformojnë formatin e dokumenteve ose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të vazhdojnë të krijojnë, përditësojnë informatat, vetëm me qëllim të ripërdorimit të tyre.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3. Dokumentet publike, në të cilat bibliotekat, përfshirë bibliotekat universitare, muzetë dhe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arkivat, kanë të drejta të pronësisë intelektuale, lejohen për ripërdorim për qëllime komerciale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dhe </w:t>
      </w:r>
      <w:proofErr w:type="spellStart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jokomerciale</w:t>
      </w:r>
      <w:proofErr w:type="spellEnd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vetëm në rast se ripërdorimi i dokumenteve të tilla është i lejueshëm.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4. Institucionet publike ndalohen të bëjnë marrëveshje, të cilat lejojnë qasje për ripërdorim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në baza ekskluzive. E drejta për ripërdorim duhet të jetë e hapur për të gjithë pjesëmarrësit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potencialë në treg dhe ndalohet diskriminimi ndaj palëve të interesuara në qasjen për ripërdorim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të dokumenteve publike.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lastRenderedPageBreak/>
        <w:t>5. E drejta për ripërdorim nuk mund të aprovohet për dokumente publike për të cilat palët e treta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mbajnë të drejta të pronësisë intelektuale.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</w:r>
    </w:p>
    <w:p w:rsidR="00D51214" w:rsidRDefault="003142D5" w:rsidP="003142D5">
      <w:pPr>
        <w:spacing w:line="285" w:lineRule="atLeast"/>
        <w:textAlignment w:val="baseline"/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</w:pP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t>KAPITULLI VIII</w:t>
      </w: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br/>
        <w:t>ORGANI I PAVARUR PËR MBIKËQYRJE TË QASJES NË DOKUMENTE PUBLIKE</w:t>
      </w: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br/>
      </w:r>
    </w:p>
    <w:p w:rsidR="00D51214" w:rsidRDefault="003142D5" w:rsidP="003142D5">
      <w:pPr>
        <w:spacing w:line="285" w:lineRule="atLeast"/>
        <w:textAlignment w:val="baseline"/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</w:pP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t>Neni 27</w:t>
      </w: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br/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Agjencia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</w:r>
      <w:proofErr w:type="spellStart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Agjencia</w:t>
      </w:r>
      <w:proofErr w:type="spellEnd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është kompetente për mbikëqyrjen dhe sigurimin e zbatimit të këtij Ligji, për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ndërmarrjen dhe shqiptimin e masave të parapara me këtë ligj, si dhe për promovimin dhe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trajnimin e institucioneve publike në zbatimin e këtij ligji.</w:t>
      </w:r>
    </w:p>
    <w:p w:rsidR="00D51214" w:rsidRDefault="003142D5" w:rsidP="003142D5">
      <w:pPr>
        <w:spacing w:line="285" w:lineRule="atLeast"/>
        <w:textAlignment w:val="baseline"/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</w:pP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</w: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t>Neni 28</w:t>
      </w: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br/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Detyrat dhe përgjegjësitë e Agjencisë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1. Si shtesë e detyrave dhe përgjegjësive të tjera të parashikuara me këtë Ligj dhe ligje të tjera,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Agjencia ka edhe detyrat dhe përgjegjësitë në vijim: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1.1. të monitorojë dhe raportojë në lidhje me përputhshmërinë dhe respektimin e këtij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Ligji nga institucionet publike;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1.2. të rekomandojë ndryshime dhe reforma të natyrës së përgjithshme, por edhe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specifike, të drejtuara një institucioni specifik në lidhje me të drejtën për qasje në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dokumente publike;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1.3. të bashkëpunojë me institucionet përgjegjëse për organizimin dhe mbajtjen e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trajnimeve për zyrtarët publikë për qasje në dokumente publike dhe për zbatimin efektiv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të këtij ligji;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1.4. të publikojë detyrimet e institucioneve publike që rrjedhin nga ky ligj dhe të drejtat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e secilit person të parashikuar me këtë ligj;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1.5. të ndërmarrë dhe shqiptojë ndonjërën nga masat e parashikuara me këtë ligj për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zbatimin efektiv të këtij Ligji.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 xml:space="preserve">2. Agjencia është gjithashtu kompetent që të inicioj procedurën për </w:t>
      </w:r>
      <w:proofErr w:type="spellStart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deklasifikimin</w:t>
      </w:r>
      <w:proofErr w:type="spellEnd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e dokumenteve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të klasifikuara sipas ligjit përkatës për klasifikimin e dokumenteve.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</w:r>
    </w:p>
    <w:p w:rsidR="00D51214" w:rsidRDefault="003142D5" w:rsidP="003142D5">
      <w:pPr>
        <w:spacing w:line="285" w:lineRule="atLeast"/>
        <w:textAlignment w:val="baseline"/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</w:pP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t>KAPITULLI IX</w:t>
      </w: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br/>
        <w:t>MASAT PËR ZBATIMIN E LIGJIT</w:t>
      </w:r>
    </w:p>
    <w:p w:rsidR="00D51214" w:rsidRDefault="003142D5" w:rsidP="003142D5">
      <w:pPr>
        <w:spacing w:line="285" w:lineRule="atLeast"/>
        <w:textAlignment w:val="baseline"/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</w:pP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br/>
        <w:t>Neni 29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lastRenderedPageBreak/>
        <w:t>Informimi dhe trajnimi për institucionet publike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1. Agjencia harton një udhëzues të thjeshtë dhe të qartë në secilën prej gjuhëve zyrtare dhe në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përdorim në Republikën e Kosovës, i cili përmban informata praktike për lehtësimin e ushtrimit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të </w:t>
      </w:r>
      <w:proofErr w:type="spellStart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të</w:t>
      </w:r>
      <w:proofErr w:type="spellEnd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drejtave të parashikuara me këtë ligj. Udhëzuesi publikohet dhe shpërndahet të </w:t>
      </w:r>
      <w:proofErr w:type="spellStart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të</w:t>
      </w:r>
      <w:proofErr w:type="spellEnd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gjitha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institucionet publike dhe do të bëhet i qasshëm për publikun e gjerë.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2. Agjencia organizon dhe mbanë konferenca, seminare dhe trajnime për zyrtarët publikë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përgjegjës, shoqërinë civile dhe publikun e gjerë për të promovuar dhe lehtësuar qasjen në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dokumente publike.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3. Agjencia informon institucionet publike me zhvillimet e fundit dhe praktikat më të mira për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qasje në dokumente publike.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</w: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t>Neni 30</w:t>
      </w: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br/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Informimi dhe vetëdijesimi i publikut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1. Institucionet publike informojnë publikun për të drejtën për qasje në dokumente publike dhe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për mënyrën në të cilën kjo e drejtë mund të ushtrohet.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2. Institucionet publike ndërmarrin masat e nevojshme për të: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2.1. përmbushur detyrat dhe obligimet e tyre lidhur me zbatimin e kësaj të drejte;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2.2. ofruar informata mbi çështje apo aktivitetet, për të cilat janë përgjegjëse;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2.3. menaxhuar dokumentet e tyre publike në mënyrë efikase, në mënyrë që të ketë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qasje të lehtë;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2.4. informuar publikun për të drejtat, të cilat rrjedhin nga ky ligj; si dhe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2.5. caktuar njësinë apo zyrtarin përgjegjës për komunikim me qytetarë, e/i cila/i është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përgjegjës/e për pranimin dhe shqyrtimin fillestar të kërkesave për qasje në dokumente.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</w:r>
    </w:p>
    <w:p w:rsidR="00D51214" w:rsidRDefault="003142D5" w:rsidP="003142D5">
      <w:pPr>
        <w:spacing w:line="285" w:lineRule="atLeast"/>
        <w:textAlignment w:val="baseline"/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</w:pP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t>Neni 31</w:t>
      </w: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br/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Raportimi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1. Për të siguruar transparencë të plotë në punën e tyre edhe sa i përket qasjes në dokumente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publike, institucionet publike, përmes zyrtarit përgjegjës për qasje në dokumente publike,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hartojnë një raport vjetor më së largu deri në fund të muajit janar të vitit aktual, për periudhën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deri në datën 31 dhjetor të vitit paraprak, ku përfshihet numri i rasteve, në të cilat, institucioni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publik ka lejuar qasjen, numrin e rasteve në të cilat institucioni publik ka refuzuar qasjen në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dokumente, si dhe arsyet e këtyre refuzimeve.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2. Secili institucion publik, raportin vjetor për vitin paraprak, ia dërgon Agjencisë.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3. Agjencia përgatitë raportin gjithëpërfshirës për vitin paraprak deri në fund të muajit mars të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vitit aktual, për periudhën deri në datën 31 dhjetor të vitit të kaluar.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4. Agjencia ia paraqet Kuvendit të Republikës së Kosovës raportin gjithëpërfshirës së bashku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me rekomandimet për masat dhe ndryshimet që kanë për synim të rrisin transparencën dhe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qasjen e publikut në dokumente publike, deri me 31 mars të vitit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lastRenderedPageBreak/>
        <w:t>vijues, për vitin paraprak, në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lidhje me zbatimin dhe respektimin e këtij ligji. Raporti duhet të bëhet publik pas miratimit nga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ana e Kuvendit të Republikës së Kosovës.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5. Agjencia mund të përgatisë raporte periodike dhe tematike për Kuvendin e Kosovës, publikun,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institucionet publike, në lidhje me çështjet me rëndësi për të drejtën për qasje në dokumente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publike.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6. Agjencia nxjerr akt nënligjor për mënyrën e mbajtjes së evidencës dhe raportimit për zbatimin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e këtij Ligji.</w:t>
      </w:r>
    </w:p>
    <w:p w:rsidR="00D51214" w:rsidRDefault="003142D5" w:rsidP="003142D5">
      <w:pPr>
        <w:spacing w:line="285" w:lineRule="atLeast"/>
        <w:textAlignment w:val="baseline"/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</w:pP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</w: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t>KAPITULLI X</w:t>
      </w: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br/>
        <w:t>GJOBAT</w:t>
      </w: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br/>
      </w:r>
    </w:p>
    <w:p w:rsidR="00D51214" w:rsidRDefault="003142D5" w:rsidP="003142D5">
      <w:pPr>
        <w:spacing w:line="285" w:lineRule="atLeast"/>
        <w:textAlignment w:val="baseline"/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</w:pP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t>Neni 32</w:t>
      </w: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br/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Autoriteti kompetent për shqiptimin e gjobave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1. Agjencia është kompetente për shqiptimin e gjobave ndaj institucioneve publike dhe zyrtarëve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përgjegjës, sipas dispozitave të këtij ligji.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2. Mjetet financiare të mbledhura nga shqiptimi i gjobave sipas nenit 33 të këtij ligji, derdhen në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buxhetin e Republikës së Kosovës.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3. Para shqiptimit të ndonjërës prej gjobave të parashikuara me nenin 33 të këtij Ligji, Agjencia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informon institucionin publik me qëllimin dhe arsyen për shqiptimin e gjobës dhe i ofron një afat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kohor, jo më të gjatë se shtatë (7) ditë, për të përmirësuar shkeljen e evidentuar, në mënyrë që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të mos shqiptohet gjoba.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4. Në procedurën për shqiptimin e gjobave sipas këtij Ligji, Agjencia vepron në përputhje me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dispozitat e ligjit përkatës që rregullon procedurën për shqiptimin e gjobave nga Agjencia.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5. Në rast se institucioni publik nuk përmirëson shkeljen e evidentuar sipas udhëzimeve të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Agjencisë, kjo e fundit merr vendim për shqiptimin e gjobës.</w:t>
      </w:r>
    </w:p>
    <w:p w:rsidR="00D51214" w:rsidRDefault="003142D5" w:rsidP="003142D5">
      <w:pPr>
        <w:spacing w:line="285" w:lineRule="atLeast"/>
        <w:textAlignment w:val="baseline"/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</w:pP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</w: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t>Neni 33</w:t>
      </w: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br/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Arsyet për shqiptimin e gjobave dhe lartësia e tyre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1. Institucioni publik, i cili në kundërshtim me dispozitat e këtij ligji, e pamundëson, pengon ose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kufizon realizimin e të drejtave për qasje në dokumente publike, dënohet me gjobë prej tre mijë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(3,000) deri në dhjetëmijë (10,000) €.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2. Institucioni ose zyrtari përgjegjës i institucionit publik kompetent, i cili lejon dëmtimin,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shkatërrimin, fshehjen ose në ndonjë mënyrë ose formë tjetër e bënë të paqartë dokumentin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publik, me qëllim të pamundësimit të realizimit të së drejtës në qasje të dokumenteve publike,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nga ana e kërkuesit të interesuar dënohet sipas Kodit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lastRenderedPageBreak/>
        <w:t>Penal të Republikës së Kosovës.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3. Me gjobë prej njëmijë (1,000) deri në tremijë (3,000) €, ndëshkohet institucioni publik, i cili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nuk përgjigjet fare në kërkesën për qasje në dokumente publike.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</w:r>
    </w:p>
    <w:p w:rsidR="00D51214" w:rsidRDefault="003142D5" w:rsidP="003142D5">
      <w:pPr>
        <w:spacing w:line="285" w:lineRule="atLeast"/>
        <w:textAlignment w:val="baseline"/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</w:pP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t>KAPITULLI XI</w:t>
      </w: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br/>
        <w:t>DISPOZITAT KALIMTARE DHE PËRFUNDIMTARE</w:t>
      </w: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br/>
      </w:r>
    </w:p>
    <w:p w:rsidR="00D51214" w:rsidRDefault="003142D5" w:rsidP="003142D5">
      <w:pPr>
        <w:spacing w:line="285" w:lineRule="atLeast"/>
        <w:textAlignment w:val="baseline"/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</w:pP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t>Neni 34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Aktet nënligjore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1. Qeveria me propozim të Agjencisë, miraton akte nënligjore për zbatimin e këtij ligji, më së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largu gjashtë (6) muaj pas hyrjes në fuqi të këtij ligji.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2. Aktet nënligjore të nxjerra në pajtim me Ligjin Nr. 03/L-215 për Qasje në Dokumente Publike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vazhdojnë të zbatohen deri në nxjerrjen e akteve të reja në pajtim me këtë ligj”.</w:t>
      </w:r>
    </w:p>
    <w:p w:rsidR="00D51214" w:rsidRDefault="003142D5" w:rsidP="003142D5">
      <w:pPr>
        <w:spacing w:line="285" w:lineRule="atLeast"/>
        <w:textAlignment w:val="baseline"/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</w:pP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</w: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t>Neni 35</w:t>
      </w: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br/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Shfuqizimi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Ky ligj shfuqizon Ligjin Nr. 03/L-215 për Qasje në dokumente publike”.</w:t>
      </w:r>
    </w:p>
    <w:p w:rsidR="003142D5" w:rsidRPr="003142D5" w:rsidRDefault="003142D5" w:rsidP="003142D5">
      <w:pPr>
        <w:spacing w:line="285" w:lineRule="atLeast"/>
        <w:textAlignment w:val="baseline"/>
        <w:rPr>
          <w:rFonts w:ascii="Palatino Linotype" w:eastAsia="Times New Roman" w:hAnsi="Palatino Linotype" w:cs="Times New Roman"/>
          <w:color w:val="4E4B49"/>
          <w:sz w:val="24"/>
          <w:szCs w:val="24"/>
        </w:rPr>
      </w:pP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</w: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t>Neni 36</w:t>
      </w:r>
      <w:r w:rsidRPr="003142D5">
        <w:rPr>
          <w:rFonts w:ascii="Palatino Linotype" w:eastAsia="Times New Roman" w:hAnsi="Palatino Linotype" w:cs="Times New Roman"/>
          <w:b/>
          <w:color w:val="4E4B49"/>
          <w:sz w:val="24"/>
          <w:szCs w:val="24"/>
          <w:bdr w:val="none" w:sz="0" w:space="0" w:color="auto" w:frame="1"/>
        </w:rPr>
        <w:br/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Hyrja në fuqi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Ky ligj hyn në fuqi pesëmbëdhjetë (15) ditë pas publikimit në Gazetën Zyrtare të Republikës së</w:t>
      </w:r>
      <w:r w:rsidR="00D51214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Kosovës.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Ligji Nr. 06/L-081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30 maj 2019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>Shpallur me dekretin Nr. DL-129-2019, datë 24.06.2019 nga Presidenti i Republikës së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  <w:t xml:space="preserve">Kosovës </w:t>
      </w:r>
      <w:proofErr w:type="spellStart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>Hashim</w:t>
      </w:r>
      <w:proofErr w:type="spellEnd"/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t xml:space="preserve"> Thaçi</w:t>
      </w:r>
      <w:r w:rsidRPr="003142D5">
        <w:rPr>
          <w:rFonts w:ascii="Palatino Linotype" w:eastAsia="Times New Roman" w:hAnsi="Palatino Linotype" w:cs="Times New Roman"/>
          <w:color w:val="4E4B49"/>
          <w:sz w:val="24"/>
          <w:szCs w:val="24"/>
          <w:bdr w:val="none" w:sz="0" w:space="0" w:color="auto" w:frame="1"/>
        </w:rPr>
        <w:br/>
      </w:r>
    </w:p>
    <w:p w:rsidR="00205C57" w:rsidRPr="003967DA" w:rsidRDefault="00205C57">
      <w:pPr>
        <w:rPr>
          <w:sz w:val="24"/>
          <w:szCs w:val="24"/>
        </w:rPr>
      </w:pPr>
    </w:p>
    <w:sectPr w:rsidR="00205C57" w:rsidRPr="003967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2D5"/>
    <w:rsid w:val="00205C57"/>
    <w:rsid w:val="003142D5"/>
    <w:rsid w:val="003967DA"/>
    <w:rsid w:val="00551663"/>
    <w:rsid w:val="00D5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03977B-1EE5-4171-AF75-210ED857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142D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142D5"/>
    <w:rPr>
      <w:rFonts w:ascii="Arial" w:hAnsi="Arial" w:cs="Arial"/>
      <w:vanish/>
      <w:sz w:val="16"/>
      <w:szCs w:val="16"/>
      <w:lang w:val="sq-AL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142D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142D5"/>
    <w:rPr>
      <w:rFonts w:ascii="Arial" w:hAnsi="Arial" w:cs="Arial"/>
      <w:vanish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2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0728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162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54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37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4" w:color="auto"/>
                                <w:left w:val="none" w:sz="0" w:space="0" w:color="auto"/>
                                <w:bottom w:val="single" w:sz="6" w:space="8" w:color="004288"/>
                                <w:right w:val="none" w:sz="0" w:space="0" w:color="auto"/>
                              </w:divBdr>
                            </w:div>
                            <w:div w:id="361132291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C8C8C8"/>
                                <w:right w:val="none" w:sz="0" w:space="0" w:color="auto"/>
                              </w:divBdr>
                            </w:div>
                            <w:div w:id="82798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19</Pages>
  <Words>6267</Words>
  <Characters>35724</Characters>
  <Application>Microsoft Office Word</Application>
  <DocSecurity>0</DocSecurity>
  <Lines>297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Shala</dc:creator>
  <cp:keywords/>
  <dc:description/>
  <cp:lastModifiedBy>Ibrahim Shala</cp:lastModifiedBy>
  <cp:revision>3</cp:revision>
  <dcterms:created xsi:type="dcterms:W3CDTF">2023-04-05T12:05:00Z</dcterms:created>
  <dcterms:modified xsi:type="dcterms:W3CDTF">2023-04-05T12:53:00Z</dcterms:modified>
</cp:coreProperties>
</file>